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uppressAutoHyphens w:val="true"/>
        <w:bidi w:val="0"/>
        <w:spacing w:lineRule="auto" w:line="240" w:before="120" w:after="0"/>
        <w:ind w:hanging="0" w:left="0" w:right="0"/>
        <w:jc w:val="both"/>
        <w:rPr>
          <w:rFonts w:ascii="Open Sans" w:hAnsi="Open Sans"/>
        </w:rPr>
      </w:pPr>
      <w:r>
        <w:rPr>
          <w:rFonts w:eastAsia="Arial" w:cs="Arial" w:ascii="Open Sans" w:hAnsi="Open Sans"/>
          <w:b/>
          <w:sz w:val="24"/>
          <w:szCs w:val="24"/>
        </w:rPr>
        <w:t>Medienmitteilung</w:t>
      </w:r>
      <w:r>
        <w:rPr>
          <w:rFonts w:eastAsia="Arial" w:cs="Arial" w:ascii="Open Sans" w:hAnsi="Open Sans"/>
          <w:b/>
          <w:sz w:val="20"/>
          <w:szCs w:val="20"/>
        </w:rPr>
        <w:tab/>
        <w:tab/>
        <w:tab/>
        <w:tab/>
        <w:tab/>
        <w:tab/>
        <w:tab/>
        <w:tab/>
        <w:t xml:space="preserve">  </w:t>
      </w:r>
      <w:r>
        <w:rPr>
          <w:rFonts w:eastAsia="Arial" w:cs="Arial" w:ascii="Open Sans" w:hAnsi="Open Sans"/>
          <w:b w:val="false"/>
          <w:bCs w:val="false"/>
          <w:sz w:val="20"/>
          <w:szCs w:val="20"/>
        </w:rPr>
        <w:t>Bern, 20. August 2026</w:t>
      </w:r>
    </w:p>
    <w:p>
      <w:pPr>
        <w:pStyle w:val="Normal"/>
        <w:spacing w:lineRule="auto" w:line="240" w:before="120" w:after="0"/>
        <w:ind w:right="6663"/>
        <w:jc w:val="both"/>
        <w:rPr>
          <w:rFonts w:ascii="Open Sans" w:hAnsi="Open Sans" w:eastAsia="Arial" w:cs="Arial"/>
          <w:sz w:val="20"/>
          <w:szCs w:val="20"/>
        </w:rPr>
      </w:pPr>
      <w:r>
        <w:rPr>
          <w:rFonts w:eastAsia="Arial" w:cs="Arial" w:ascii="Open Sans" w:hAnsi="Open Sans"/>
          <w:sz w:val="20"/>
          <w:szCs w:val="20"/>
        </w:rPr>
      </w:r>
    </w:p>
    <w:p>
      <w:pPr>
        <w:pStyle w:val="Heading1"/>
        <w:bidi w:val="0"/>
        <w:rPr>
          <w:rFonts w:ascii="Open Sans" w:hAnsi="Open Sans"/>
          <w:sz w:val="22"/>
          <w:szCs w:val="22"/>
        </w:rPr>
      </w:pPr>
      <w:r>
        <w:rPr>
          <w:rFonts w:ascii="Open Sans" w:hAnsi="Open Sans"/>
          <w:sz w:val="22"/>
          <w:szCs w:val="22"/>
        </w:rPr>
        <w:t>BKW-Tarif «Sonne scheint»: Mogelpackung bremst die lokale Energiewende</w:t>
      </w:r>
    </w:p>
    <w:p>
      <w:pPr>
        <w:pStyle w:val="BodyText"/>
        <w:rPr>
          <w:rFonts w:ascii="Open Sans" w:hAnsi="Open Sans"/>
        </w:rPr>
      </w:pPr>
      <w:r>
        <w:rPr>
          <w:rFonts w:ascii="Open Sans" w:hAnsi="Open Sans"/>
        </w:rPr>
      </w:r>
    </w:p>
    <w:p>
      <w:pPr>
        <w:pStyle w:val="BodyText"/>
        <w:rPr>
          <w:rFonts w:ascii="Open Sans" w:hAnsi="Open Sans"/>
          <w:b/>
          <w:bCs/>
        </w:rPr>
      </w:pPr>
      <w:r>
        <w:rPr>
          <w:rFonts w:ascii="Open Sans" w:hAnsi="Open Sans"/>
          <w:b/>
          <w:bCs/>
        </w:rPr>
        <w:t>Bern, 20. August 2026 – Die BKW führt mit «Sonne scheint» erstmals einen dynamisierten Netznutzungstarif ein. Der Verband unabhängiger Energieerzeuger (VESE) begrüsst den Anreiz zur zeitvariablen Netzsteuerung grundsätzlich. Bei genauerer Betrachtung entpuppt sich der angebliche «Rabatt» jedoch als erlösneutrale Tarifumschichtung – mit negativen Folgen für die Vermarktung echter Lokaler Elektrizitätsgemeinschaften (LEG).</w:t>
      </w:r>
    </w:p>
    <w:p>
      <w:pPr>
        <w:pStyle w:val="BodyText"/>
        <w:bidi w:val="0"/>
        <w:rPr>
          <w:rFonts w:ascii="Open Sans" w:hAnsi="Open Sans"/>
        </w:rPr>
      </w:pPr>
      <w:r>
        <w:rPr>
          <w:rFonts w:ascii="Open Sans" w:hAnsi="Open Sans"/>
          <w:b/>
          <w:bCs/>
        </w:rPr>
        <w:t>Kein echter Rabatt, sondern Umverteilung</w:t>
      </w:r>
      <w:r>
        <w:rPr>
          <w:rFonts w:ascii="Open Sans" w:hAnsi="Open Sans"/>
        </w:rPr>
        <w:t xml:space="preserve"> Entgegen dem Werbeversprechen senkt «</w:t>
      </w:r>
      <w:hyperlink r:id="rId2">
        <w:r>
          <w:rPr>
            <w:rStyle w:val="Hyperlink"/>
            <w:rFonts w:ascii="Open Sans" w:hAnsi="Open Sans"/>
          </w:rPr>
          <w:t>Sonne scheint</w:t>
        </w:r>
      </w:hyperlink>
      <w:r>
        <w:rPr>
          <w:rFonts w:ascii="Open Sans" w:hAnsi="Open Sans"/>
        </w:rPr>
        <w:t>» nicht den Strompreis, sondern betrifft allein die Verschiebung des Arbeitspreises der Netznutzung. Der Tarif ist zudem erlösneutral ausgestaltet: Das Nachlass-Zeitfenster (April bis September, 13 bis 17 Uhr) wird durch höhere Tarife ausserhalb dieser Zeiten finanziert. Wer in diesem Fenster wenig Strom verbraucht, zahlt am Jahresende mehr. Es handelt sich somit nicht um einen Rabatt, sondern um eine interne Umverteilung mit versteckter Tariferhöhung für unflexible Haushalte.</w:t>
      </w:r>
    </w:p>
    <w:p>
      <w:pPr>
        <w:pStyle w:val="BodyText"/>
        <w:rPr>
          <w:rFonts w:ascii="Open Sans" w:hAnsi="Open Sans"/>
        </w:rPr>
      </w:pPr>
      <w:r>
        <w:rPr>
          <w:rFonts w:ascii="Open Sans" w:hAnsi="Open Sans"/>
          <w:b/>
          <w:bCs/>
        </w:rPr>
        <w:t>Starre Wetterprognose statt echter Netzdynamik</w:t>
      </w:r>
      <w:r>
        <w:rPr>
          <w:rFonts w:ascii="Open Sans" w:hAnsi="Open Sans"/>
        </w:rPr>
        <w:t xml:space="preserve"> Der BKW-Tarif orientiert sich an regionalen Wetterprognosen statt an der tatsächlichen, momentanen Netzauslastung. Dass eine echte Steuerung anders geht, beweist die Groupe E mit ihrem </w:t>
      </w:r>
      <w:hyperlink r:id="rId3">
        <w:r>
          <w:rPr>
            <w:rStyle w:val="Hyperlink"/>
            <w:rFonts w:ascii="Open Sans" w:hAnsi="Open Sans"/>
          </w:rPr>
          <w:t>Tarif Vario+</w:t>
        </w:r>
      </w:hyperlink>
      <w:r>
        <w:rPr>
          <w:rFonts w:ascii="Open Sans" w:hAnsi="Open Sans"/>
        </w:rPr>
        <w:t xml:space="preserve"> bereits seit 2024: Ihr Modell ermittelt Netz- und Energiepreise dynamisch im 15-Minuten-Takt.</w:t>
      </w:r>
    </w:p>
    <w:p>
      <w:pPr>
        <w:pStyle w:val="BodyText"/>
        <w:rPr>
          <w:rFonts w:ascii="Open Sans" w:hAnsi="Open Sans"/>
        </w:rPr>
      </w:pPr>
      <w:r>
        <w:rPr>
          <w:rFonts w:ascii="Open Sans" w:hAnsi="Open Sans"/>
          <w:b/>
          <w:bCs/>
          <w:shd w:fill="auto" w:val="clear"/>
        </w:rPr>
        <w:t>Verwechslungsgefahr bremst private Elektrizitätsgemeinschaften</w:t>
      </w:r>
      <w:r>
        <w:rPr>
          <w:rFonts w:ascii="Open Sans" w:hAnsi="Open Sans"/>
          <w:shd w:fill="auto" w:val="clear"/>
        </w:rPr>
        <w:t xml:space="preserve"> In einer echten LEG erhalten Teilnehmende für lokal erzeugten und verbrauchten Strom einen gesetzlich verankerten, dauerhaften Netztarif-Abschlag von 40 oder 20 Prozent und profitieren von günstig produziertem, lokalem Solarstrom. Die BKW rückt ihren Tarif sprachlich in die Nähe einer LEG, ohne deren Kernelemente - die Bindung an lokal erzeugte Energie und einen echten Netznutzungsrabatt - zu übernehmen. Es bleibt zu klären, ob damit der Aufbau privater LEG-Strukturen erschwert werden soll, weil diese der BKW als Netzbetreiberin Geschäfte entziehen würden.</w:t>
      </w:r>
    </w:p>
    <w:p>
      <w:pPr>
        <w:pStyle w:val="BodyText"/>
        <w:rPr>
          <w:rFonts w:ascii="Open Sans" w:hAnsi="Open Sans"/>
          <w:shd w:fill="auto" w:val="clear"/>
        </w:rPr>
      </w:pPr>
      <w:r>
        <w:rPr>
          <w:rFonts w:ascii="Open Sans" w:hAnsi="Open Sans"/>
          <w:shd w:fill="auto" w:val="clear"/>
        </w:rPr>
        <w:t>Dazu meint Lucia Grüter, Vorstandsmitglied VESE und Geschäftsleiterin einer Solargenossenschaft: «Die BKW verkauft eine reine Tarifumschichtung als grüne Vergünstigung. Das erschwert es uns massiv, der Bevölkerung den echten Nutzen einer Lokalen Elektrizitätsgemeinschaft zu erklären – nicht weil unser Modell schlechter wäre, sondern weil es komplexer ist als ein Produkt mit dynamischem Netznutzungstarif, von dem man nicht sicher ist, ob man übers Jahr hinweg tatsächlich Kosten sparen kann.»</w:t>
      </w:r>
    </w:p>
    <w:p>
      <w:pPr>
        <w:pStyle w:val="BodyText"/>
        <w:rPr>
          <w:rFonts w:ascii="Open Sans" w:hAnsi="Open Sans"/>
        </w:rPr>
      </w:pPr>
      <w:r>
        <w:rPr>
          <w:rFonts w:ascii="Open Sans" w:hAnsi="Open Sans"/>
          <w:b/>
          <w:bCs/>
        </w:rPr>
        <w:t>VESE fordert transparente Tarife und echte LEG-Unterstützung</w:t>
      </w:r>
      <w:r>
        <w:rPr>
          <w:rFonts w:ascii="Open Sans" w:hAnsi="Open Sans"/>
        </w:rPr>
        <w:t xml:space="preserve"> VESE fordert die BKW und ihre Eigner auf, ihre Kommunikation an der tariflichen Wirklichkeit auszurichten. Statt Schein-Rabatte zu vermarkten, sollte die BKW selbst niedrigschwellige LEG-Angebote schaffen, wie es in Zürich mit dem </w:t>
      </w:r>
      <w:hyperlink r:id="rId4">
        <w:r>
          <w:rPr>
            <w:rStyle w:val="Hyperlink"/>
            <w:rFonts w:ascii="Open Sans" w:hAnsi="Open Sans"/>
          </w:rPr>
          <w:t>ewz.solarquartier</w:t>
        </w:r>
      </w:hyperlink>
      <w:r>
        <w:rPr>
          <w:rFonts w:ascii="Open Sans" w:hAnsi="Open Sans"/>
        </w:rPr>
        <w:t xml:space="preserve"> gemacht wird.</w:t>
      </w:r>
    </w:p>
    <w:p>
      <w:pPr>
        <w:pStyle w:val="BodyText"/>
        <w:rPr>
          <w:rFonts w:ascii="Open Sans" w:hAnsi="Open Sans"/>
        </w:rPr>
      </w:pPr>
      <w:r>
        <w:rPr>
          <w:rFonts w:ascii="Open Sans" w:hAnsi="Open Sans"/>
        </w:rPr>
        <w:t xml:space="preserve">Parallel dazu sollte die BKW Hand bieten, innovative Modelle für PV-Produzenten, wie das </w:t>
      </w:r>
      <w:hyperlink r:id="rId5">
        <w:r>
          <w:rPr>
            <w:rStyle w:val="Hyperlink"/>
            <w:rFonts w:ascii="Open Sans" w:hAnsi="Open Sans"/>
          </w:rPr>
          <w:t>VESE-Kapazitätsmodell</w:t>
        </w:r>
      </w:hyperlink>
      <w:r>
        <w:rPr>
          <w:rFonts w:ascii="Open Sans" w:hAnsi="Open Sans"/>
        </w:rPr>
        <w:t>, in ihrem Netzgebiet zu unterstützen und anzubieten.</w:t>
      </w:r>
    </w:p>
    <w:p>
      <w:pPr>
        <w:pStyle w:val="BodyText"/>
        <w:rPr>
          <w:rFonts w:ascii="Open Sans" w:hAnsi="Open Sans"/>
        </w:rPr>
      </w:pPr>
      <w:r>
        <w:rPr>
          <w:rFonts w:ascii="Open Sans" w:hAnsi="Open Sans"/>
        </w:rPr>
      </w:r>
    </w:p>
    <w:p>
      <w:pPr>
        <w:pStyle w:val="Heading2"/>
        <w:rPr>
          <w:rFonts w:ascii="Open Sans" w:hAnsi="Open Sans"/>
        </w:rPr>
      </w:pPr>
      <w:r>
        <w:rPr>
          <w:rFonts w:ascii="Open Sans" w:hAnsi="Open Sans"/>
        </w:rPr>
        <w:t>Kontakt</w:t>
      </w:r>
    </w:p>
    <w:p>
      <w:pPr>
        <w:pStyle w:val="Normal"/>
        <w:widowControl w:val="false"/>
        <w:suppressAutoHyphens w:val="true"/>
        <w:bidi w:val="0"/>
        <w:spacing w:lineRule="auto" w:line="276" w:before="0" w:after="200"/>
        <w:jc w:val="left"/>
        <w:rPr/>
      </w:pPr>
      <w:r>
        <w:rPr>
          <w:rFonts w:ascii="Open Sans" w:hAnsi="Open Sans"/>
        </w:rPr>
        <w:t>Walter Sachs, Präsident VESE</w:t>
        <w:br/>
        <w:t xml:space="preserve">Tel. </w:t>
      </w:r>
      <w:hyperlink r:id="rId6">
        <w:r>
          <w:rPr>
            <w:rStyle w:val="Hyperlink"/>
            <w:rFonts w:ascii="Open Sans" w:hAnsi="Open Sans"/>
          </w:rPr>
          <w:t>076 528 09 36</w:t>
        </w:r>
      </w:hyperlink>
      <w:r>
        <w:rPr>
          <w:rFonts w:ascii="Open Sans" w:hAnsi="Open Sans"/>
        </w:rPr>
        <w:br/>
      </w:r>
      <w:hyperlink r:id="rId7">
        <w:r>
          <w:rPr>
            <w:rStyle w:val="Hyperlink"/>
            <w:rFonts w:ascii="Open Sans" w:hAnsi="Open Sans"/>
          </w:rPr>
          <w:t>walter.sachs@vese.ch</w:t>
        </w:r>
      </w:hyperlink>
    </w:p>
    <w:p>
      <w:pPr>
        <w:pStyle w:val="Heading2"/>
        <w:widowControl w:val="false"/>
        <w:suppressAutoHyphens w:val="true"/>
        <w:bidi w:val="0"/>
        <w:spacing w:lineRule="auto" w:line="276"/>
        <w:jc w:val="left"/>
        <w:rPr>
          <w:rStyle w:val="Hyperlink"/>
          <w:rFonts w:ascii="Open Sans" w:hAnsi="Open Sans" w:eastAsia="Calibri" w:cs="Calibri"/>
          <w:color w:val="auto"/>
          <w:kern w:val="0"/>
          <w:u w:val="none"/>
          <w:lang w:val="de-CH" w:eastAsia="fr-CH" w:bidi="ar-SA"/>
        </w:rPr>
      </w:pPr>
      <w:r>
        <w:rPr/>
      </w:r>
    </w:p>
    <w:p>
      <w:pPr>
        <w:pStyle w:val="Heading2"/>
        <w:widowControl w:val="false"/>
        <w:suppressAutoHyphens w:val="true"/>
        <w:bidi w:val="0"/>
        <w:spacing w:lineRule="auto" w:line="276"/>
        <w:jc w:val="left"/>
        <w:rPr/>
      </w:pPr>
      <w:r>
        <w:rPr>
          <w:rStyle w:val="Hyperlink"/>
          <w:rFonts w:eastAsia="Calibri" w:cs="Calibri" w:ascii="Open Sans" w:hAnsi="Open Sans"/>
          <w:color w:val="auto"/>
          <w:kern w:val="0"/>
          <w:u w:val="none"/>
          <w:lang w:val="de-CH" w:eastAsia="fr-CH" w:bidi="ar-SA"/>
        </w:rPr>
        <w:t>Über den Verband unabhängiger Energieerzeuger VESE</w:t>
      </w:r>
    </w:p>
    <w:p>
      <w:pPr>
        <w:pStyle w:val="Normal"/>
        <w:suppressAutoHyphens w:val="true"/>
        <w:spacing w:before="0" w:after="200"/>
        <w:rPr/>
      </w:pPr>
      <w:r>
        <w:rPr>
          <w:rStyle w:val="Hyperlink"/>
          <w:rFonts w:ascii="Open Sans" w:hAnsi="Open Sans"/>
          <w:color w:val="auto"/>
          <w:u w:val="none"/>
        </w:rPr>
        <w:t>VESE, eine Fachgruppe der Schweizerischen Vereinigung für Sonnenenergie SSES, ist der Verband der unabhängigen Energieerzeuger und vertritt die Interessenten von Betreibern von Anlagen zur Erzeugung von erneuerbarer Elektrizität ohne eigenes Verteilnetz. VESE setzt sich ein für eine Energiewende mit möglichst vielen Anlagen in Bürgerhand.</w:t>
      </w:r>
    </w:p>
    <w:sectPr>
      <w:headerReference w:type="default" r:id="rId8"/>
      <w:footerReference w:type="default" r:id="rId9"/>
      <w:type w:val="nextPage"/>
      <w:pgSz w:w="11906" w:h="16838"/>
      <w:pgMar w:left="1300" w:right="980" w:gutter="0" w:header="568" w:top="1560" w:footer="475" w:bottom="532"/>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Open Sans">
    <w:charset w:val="01"/>
    <w:family w:val="swiss"/>
    <w:pitch w:val="default"/>
  </w:font>
  <w:font w:name="OpenSymbol">
    <w:altName w:val="Arial Unicode MS"/>
    <w:charset w:val="01"/>
    <w:family w:val="swiss"/>
    <w:pitch w:val="default"/>
  </w:font>
  <w:font w:name="Liberation Sans">
    <w:altName w:val="Arial"/>
    <w:charset w:val="01"/>
    <w:family w:val="swiss"/>
    <w:pitch w:val="default"/>
  </w:font>
  <w:font w:name="Georgia">
    <w:charset w:val="01"/>
    <w:family w:val="roman"/>
    <w:pitch w:val="default"/>
  </w:font>
  <w:font w:name="Liberation Mono">
    <w:altName w:val="Courier New"/>
    <w:charset w:val="01"/>
    <w:family w:val="swiss"/>
    <w:pitch w:val="default"/>
  </w:font>
  <w:font w:name="Open Sans">
    <w:charset w:val="01"/>
    <w:family w:val="swiss"/>
    <w:pitch w:val="variable"/>
  </w:font>
  <w:font w:name="Arial">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199" w:before="0" w:after="0"/>
      <w:jc w:val="right"/>
      <w:rPr>
        <w:sz w:val="20"/>
        <w:szCs w:val="20"/>
      </w:rPr>
    </w:pPr>
    <w:bookmarkStart w:id="0" w:name="PageNumWizard_FOOTER_Standard2"/>
    <w:r>
      <w:rPr>
        <w:sz w:val="20"/>
        <w:szCs w:val="20"/>
      </w:rPr>
      <w:fldChar w:fldCharType="begin"/>
    </w:r>
    <w:r>
      <w:rPr>
        <w:sz w:val="20"/>
        <w:szCs w:val="20"/>
      </w:rPr>
      <w:instrText xml:space="preserve"> PAGE </w:instrText>
    </w:r>
    <w:r>
      <w:rPr>
        <w:sz w:val="20"/>
        <w:szCs w:val="20"/>
      </w:rPr>
      <w:fldChar w:fldCharType="separate"/>
    </w:r>
    <w:r>
      <w:rPr>
        <w:sz w:val="20"/>
        <w:szCs w:val="20"/>
      </w:rPr>
      <w:t>2</w:t>
    </w:r>
    <w:r>
      <w:rPr>
        <w:sz w:val="20"/>
        <w:szCs w:val="20"/>
      </w:rPr>
      <w:fldChar w:fldCharType="end"/>
    </w:r>
    <w:bookmarkEnd w:id="0"/>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199" w:before="0" w:after="0"/>
      <w:rPr>
        <w:sz w:val="20"/>
        <w:szCs w:val="20"/>
      </w:rPr>
    </w:pPr>
    <w:r>
      <w:rPr>
        <w:sz w:val="20"/>
        <w:szCs w:val="20"/>
      </w:rPr>
      <mc:AlternateContent>
        <mc:Choice Requires="wps">
          <w:drawing>
            <wp:anchor distT="0" distB="0" distL="0" distR="0" simplePos="0" relativeHeight="4" behindDoc="1" locked="0" layoutInCell="0" allowOverlap="1">
              <wp:simplePos x="0" y="0"/>
              <wp:positionH relativeFrom="page">
                <wp:posOffset>829945</wp:posOffset>
              </wp:positionH>
              <wp:positionV relativeFrom="page">
                <wp:posOffset>252095</wp:posOffset>
              </wp:positionV>
              <wp:extent cx="4559935" cy="598805"/>
              <wp:effectExtent l="635" t="635" r="0" b="0"/>
              <wp:wrapNone/>
              <wp:docPr id="1" name="Rectangle 5"/>
              <a:graphic xmlns:a="http://schemas.openxmlformats.org/drawingml/2006/main">
                <a:graphicData uri="http://schemas.microsoft.com/office/word/2010/wordprocessingShape">
                  <wps:wsp>
                    <wps:cNvSpPr/>
                    <wps:spPr>
                      <a:xfrm>
                        <a:off x="0" y="0"/>
                        <a:ext cx="4559760" cy="598680"/>
                      </a:xfrm>
                      <a:prstGeom prst="rect">
                        <a:avLst/>
                      </a:prstGeom>
                      <a:solidFill>
                        <a:schemeClr val="lt1"/>
                      </a:solidFill>
                      <a:ln w="0">
                        <a:noFill/>
                      </a:ln>
                    </wps:spPr>
                    <wps:style>
                      <a:lnRef idx="0"/>
                      <a:fillRef idx="0"/>
                      <a:effectRef idx="0"/>
                      <a:fontRef idx="minor"/>
                    </wps:style>
                    <wps:txbx>
                      <w:txbxContent>
                        <w:p>
                          <w:pPr>
                            <w:pStyle w:val="Rahmeninhaltuser"/>
                            <w:spacing w:lineRule="auto" w:line="223" w:before="0" w:after="0"/>
                            <w:ind w:left="20" w:right="-50"/>
                            <w:rPr>
                              <w:rFonts w:ascii="Arial" w:hAnsi="Arial" w:eastAsia="Arial" w:cs="Arial"/>
                              <w:b/>
                              <w:color w:val="014669"/>
                              <w:sz w:val="20"/>
                            </w:rPr>
                          </w:pPr>
                          <w:r>
                            <w:rPr>
                              <w:rFonts w:eastAsia="Arial" w:cs="Arial" w:ascii="Arial" w:hAnsi="Arial"/>
                              <w:b/>
                              <w:color w:val="014669"/>
                              <w:sz w:val="20"/>
                            </w:rPr>
                            <w:t>VESE -Verband unabhängiger Energieerzeuger, eine Fachgruppe der SSES</w:t>
                          </w:r>
                        </w:p>
                        <w:p>
                          <w:pPr>
                            <w:pStyle w:val="Rahmeninhaltuser"/>
                            <w:spacing w:lineRule="auto" w:line="240" w:before="0" w:after="0"/>
                            <w:rPr>
                              <w:color w:val="1F497D"/>
                              <w:sz w:val="18"/>
                            </w:rPr>
                          </w:pPr>
                          <w:r>
                            <w:rPr>
                              <w:color w:val="1F497D"/>
                              <w:sz w:val="18"/>
                            </w:rPr>
                            <w:t>Aarbergergasse 21, 3011 Bern, www.vese.ch,Tel. 031 371 80 00, E-Mail info@vese.ch</w:t>
                          </w:r>
                        </w:p>
                        <w:p>
                          <w:pPr>
                            <w:pStyle w:val="Rahmeninhaltuser"/>
                            <w:spacing w:lineRule="auto" w:line="240" w:before="0" w:after="0"/>
                            <w:ind w:firstLine="80" w:left="20" w:right="-20"/>
                            <w:rPr>
                              <w:color w:val="000000"/>
                            </w:rPr>
                          </w:pPr>
                          <w:r>
                            <w:rPr/>
                          </w:r>
                        </w:p>
                      </w:txbxContent>
                    </wps:txbx>
                    <wps:bodyPr lIns="0" tIns="0" rIns="0" bIns="0" anchor="t">
                      <a:noAutofit/>
                    </wps:bodyPr>
                  </wps:wsp>
                </a:graphicData>
              </a:graphic>
            </wp:anchor>
          </w:drawing>
        </mc:Choice>
        <mc:Fallback>
          <w:pict>
            <v:rect id="shape_0" fillcolor="white" stroked="f" o:allowincell="f" style="position:absolute;margin-left:65.35pt;margin-top:19.85pt;width:359pt;height:47.1pt;mso-wrap-style:square;v-text-anchor:top;mso-position-horizontal-relative:page;mso-position-vertical-relative:page">
              <v:fill o:detectmouseclick="t" type="solid" color2="black"/>
              <v:stroke color="#3465a4" joinstyle="round" endcap="flat"/>
              <v:textbox>
                <w:txbxContent>
                  <w:p>
                    <w:pPr>
                      <w:pStyle w:val="Rahmeninhaltuser"/>
                      <w:spacing w:lineRule="auto" w:line="223" w:before="0" w:after="0"/>
                      <w:ind w:left="20" w:right="-50"/>
                      <w:rPr>
                        <w:rFonts w:ascii="Arial" w:hAnsi="Arial" w:eastAsia="Arial" w:cs="Arial"/>
                        <w:b/>
                        <w:color w:val="014669"/>
                        <w:sz w:val="20"/>
                      </w:rPr>
                    </w:pPr>
                    <w:r>
                      <w:rPr>
                        <w:rFonts w:eastAsia="Arial" w:cs="Arial" w:ascii="Arial" w:hAnsi="Arial"/>
                        <w:b/>
                        <w:color w:val="014669"/>
                        <w:sz w:val="20"/>
                      </w:rPr>
                      <w:t>VESE -Verband unabhängiger Energieerzeuger, eine Fachgruppe der SSES</w:t>
                    </w:r>
                  </w:p>
                  <w:p>
                    <w:pPr>
                      <w:pStyle w:val="Rahmeninhaltuser"/>
                      <w:spacing w:lineRule="auto" w:line="240" w:before="0" w:after="0"/>
                      <w:rPr>
                        <w:color w:val="1F497D"/>
                        <w:sz w:val="18"/>
                      </w:rPr>
                    </w:pPr>
                    <w:r>
                      <w:rPr>
                        <w:color w:val="1F497D"/>
                        <w:sz w:val="18"/>
                      </w:rPr>
                      <w:t>Aarbergergasse 21, 3011 Bern, www.vese.ch,Tel. 031 371 80 00, E-Mail info@vese.ch</w:t>
                    </w:r>
                  </w:p>
                  <w:p>
                    <w:pPr>
                      <w:pStyle w:val="Rahmeninhaltuser"/>
                      <w:spacing w:lineRule="auto" w:line="240" w:before="0" w:after="0"/>
                      <w:ind w:firstLine="80" w:left="20" w:right="-20"/>
                      <w:rPr>
                        <w:color w:val="000000"/>
                      </w:rPr>
                    </w:pPr>
                    <w:r>
                      <w:rPr/>
                    </w:r>
                  </w:p>
                </w:txbxContent>
              </v:textbox>
              <w10:wrap type="none"/>
            </v:rect>
          </w:pict>
        </mc:Fallback>
      </mc:AlternateContent>
      <w:drawing>
        <wp:anchor distT="0" distB="0" distL="0" distR="0" simplePos="0" relativeHeight="7" behindDoc="1" locked="0" layoutInCell="0" allowOverlap="1">
          <wp:simplePos x="0" y="0"/>
          <wp:positionH relativeFrom="page">
            <wp:posOffset>5605145</wp:posOffset>
          </wp:positionH>
          <wp:positionV relativeFrom="page">
            <wp:posOffset>402590</wp:posOffset>
          </wp:positionV>
          <wp:extent cx="1257300" cy="411480"/>
          <wp:effectExtent l="0" t="0" r="0" b="0"/>
          <wp:wrapNone/>
          <wp:docPr id="2"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g"/>
                  <pic:cNvPicPr>
                    <a:picLocks noChangeAspect="1" noChangeArrowheads="1"/>
                  </pic:cNvPicPr>
                </pic:nvPicPr>
                <pic:blipFill>
                  <a:blip r:embed="rId1"/>
                  <a:stretch>
                    <a:fillRect/>
                  </a:stretch>
                </pic:blipFill>
                <pic:spPr bwMode="auto">
                  <a:xfrm>
                    <a:off x="0" y="0"/>
                    <a:ext cx="1257300" cy="411480"/>
                  </a:xfrm>
                  <a:prstGeom prst="rect">
                    <a:avLst/>
                  </a:prstGeom>
                  <a:noFill/>
                </pic:spPr>
              </pic:pic>
            </a:graphicData>
          </a:graphic>
        </wp:anchor>
      </w:drawing>
    </w:r>
  </w:p>
</w:hdr>
</file>

<file path=word/settings.xml><?xml version="1.0" encoding="utf-8"?>
<w:settings xmlns:w="http://schemas.openxmlformats.org/wordprocessingml/2006/main">
  <w:zoom w:percent="143"/>
  <w:defaultTabStop w:val="720"/>
  <w:autoHyphenation w:val="true"/>
  <w:hyphenationZone w:val="0"/>
  <w:compat>
    <w:compatSetting w:name="compatibilityMode" w:uri="http://schemas.microsoft.com/office/word" w:val="12"/>
    <w:compatSetting w:name="useWord2013TrackBottomHyphenation"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de-CH" w:eastAsia="fr-CH" w:bidi="ar-SA"/>
      </w:rPr>
    </w:rPrDefault>
    <w:pPrDefault>
      <w:pPr>
        <w:suppressAutoHyphens w:val="true"/>
      </w:pPr>
    </w:pPrDefault>
  </w:docDefaults>
  <w:style w:type="paragraph" w:styleId="Normal">
    <w:name w:val="Normal"/>
    <w:qFormat/>
    <w:pPr>
      <w:widowControl w:val="false"/>
      <w:suppressAutoHyphens w:val="true"/>
      <w:kinsoku w:val="true"/>
      <w:overflowPunct w:val="true"/>
      <w:autoSpaceDE w:val="true"/>
      <w:bidi w:val="0"/>
      <w:spacing w:lineRule="auto" w:line="276" w:before="0" w:after="200"/>
      <w:jc w:val="left"/>
    </w:pPr>
    <w:rPr>
      <w:rFonts w:ascii="Calibri" w:hAnsi="Calibri" w:eastAsia="Calibri" w:cs="Calibri"/>
      <w:color w:val="auto"/>
      <w:kern w:val="0"/>
      <w:sz w:val="22"/>
      <w:szCs w:val="22"/>
      <w:lang w:val="de-CH" w:eastAsia="fr-CH" w:bidi="ar-SA"/>
    </w:rPr>
  </w:style>
  <w:style w:type="paragraph" w:styleId="Heading1">
    <w:name w:val="heading 1"/>
    <w:basedOn w:val="Normal"/>
    <w:next w:val="Normal"/>
    <w:qFormat/>
    <w:pPr>
      <w:keepNext w:val="true"/>
      <w:keepLines/>
      <w:numPr>
        <w:ilvl w:val="0"/>
        <w:numId w:val="0"/>
      </w:numPr>
      <w:spacing w:before="480" w:after="120"/>
      <w:outlineLvl w:val="0"/>
    </w:pPr>
    <w:rPr>
      <w:b/>
      <w:sz w:val="48"/>
      <w:szCs w:val="48"/>
    </w:rPr>
  </w:style>
  <w:style w:type="paragraph" w:styleId="Heading2">
    <w:name w:val="heading 2"/>
    <w:basedOn w:val="Normal"/>
    <w:next w:val="Normal"/>
    <w:qFormat/>
    <w:pPr>
      <w:keepNext w:val="true"/>
      <w:keepLines/>
      <w:numPr>
        <w:ilvl w:val="0"/>
        <w:numId w:val="0"/>
      </w:numPr>
      <w:spacing w:before="0" w:after="140"/>
      <w:outlineLvl w:val="1"/>
    </w:pPr>
    <w:rPr>
      <w:rFonts w:ascii="Open Sans" w:hAnsi="Open Sans"/>
      <w:b/>
      <w:sz w:val="22"/>
      <w:szCs w:val="22"/>
    </w:rPr>
  </w:style>
  <w:style w:type="paragraph" w:styleId="Heading3">
    <w:name w:val="heading 3"/>
    <w:basedOn w:val="Normal"/>
    <w:next w:val="Normal"/>
    <w:qFormat/>
    <w:pPr>
      <w:keepNext w:val="true"/>
      <w:keepLines/>
      <w:numPr>
        <w:ilvl w:val="0"/>
        <w:numId w:val="0"/>
      </w:numPr>
      <w:spacing w:before="280" w:after="80"/>
      <w:outlineLvl w:val="2"/>
    </w:pPr>
    <w:rPr>
      <w:b/>
      <w:sz w:val="28"/>
      <w:szCs w:val="28"/>
    </w:rPr>
  </w:style>
  <w:style w:type="paragraph" w:styleId="Heading4">
    <w:name w:val="heading 4"/>
    <w:basedOn w:val="Normal"/>
    <w:next w:val="Normal"/>
    <w:qFormat/>
    <w:pPr>
      <w:keepNext w:val="true"/>
      <w:keepLines/>
      <w:numPr>
        <w:ilvl w:val="0"/>
        <w:numId w:val="0"/>
      </w:numPr>
      <w:spacing w:before="240" w:after="40"/>
      <w:outlineLvl w:val="3"/>
    </w:pPr>
    <w:rPr>
      <w:b/>
      <w:sz w:val="24"/>
      <w:szCs w:val="24"/>
    </w:rPr>
  </w:style>
  <w:style w:type="paragraph" w:styleId="Heading5">
    <w:name w:val="heading 5"/>
    <w:basedOn w:val="Normal"/>
    <w:next w:val="Normal"/>
    <w:qFormat/>
    <w:pPr>
      <w:keepNext w:val="true"/>
      <w:keepLines/>
      <w:numPr>
        <w:ilvl w:val="0"/>
        <w:numId w:val="0"/>
      </w:numPr>
      <w:spacing w:before="220" w:after="40"/>
      <w:outlineLvl w:val="4"/>
    </w:pPr>
    <w:rPr>
      <w:b/>
    </w:rPr>
  </w:style>
  <w:style w:type="paragraph" w:styleId="Heading6">
    <w:name w:val="heading 6"/>
    <w:basedOn w:val="Normal"/>
    <w:next w:val="Normal"/>
    <w:qFormat/>
    <w:pPr>
      <w:keepNext w:val="true"/>
      <w:keepLines/>
      <w:numPr>
        <w:ilvl w:val="0"/>
        <w:numId w:val="0"/>
      </w:numPr>
      <w:spacing w:before="200" w:after="40"/>
      <w:outlineLvl w:val="5"/>
    </w:pPr>
    <w:rPr>
      <w:b/>
      <w:sz w:val="20"/>
      <w:szCs w:val="20"/>
    </w:rPr>
  </w:style>
  <w:style w:type="character" w:styleId="DefaultParagraphFont">
    <w:name w:val="Default Paragraph Font"/>
    <w:qFormat/>
    <w:rPr/>
  </w:style>
  <w:style w:type="character" w:styleId="En-tteCar">
    <w:name w:val="En-tête Car"/>
    <w:basedOn w:val="DefaultParagraphFont"/>
    <w:qFormat/>
    <w:rPr/>
  </w:style>
  <w:style w:type="character" w:styleId="PieddepageCar">
    <w:name w:val="Pied de page Car"/>
    <w:basedOn w:val="DefaultParagraphFont"/>
    <w:qFormat/>
    <w:rPr/>
  </w:style>
  <w:style w:type="character" w:styleId="LineNumber">
    <w:name w:val="line number"/>
    <w:rPr/>
  </w:style>
  <w:style w:type="character" w:styleId="Hyperlink">
    <w:name w:val="Hyperlink"/>
    <w:rPr>
      <w:color w:val="000080"/>
      <w:u w:val="single"/>
    </w:rPr>
  </w:style>
  <w:style w:type="character" w:styleId="Strong">
    <w:name w:val="Strong"/>
    <w:qFormat/>
    <w:rPr>
      <w:b/>
      <w:bCs/>
    </w:rPr>
  </w:style>
  <w:style w:type="character" w:styleId="Aufzhlungszeichenuser">
    <w:name w:val="Aufzählungszeichen (user)"/>
    <w:qFormat/>
    <w:rPr>
      <w:rFonts w:ascii="OpenSymbol" w:hAnsi="OpenSymbol" w:eastAsia="OpenSymbol" w:cs="OpenSymbol"/>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Liberation Sans" w:hAnsi="Liberation Sans" w:cs="Noto Sans Devanagari"/>
    </w:rPr>
  </w:style>
  <w:style w:type="paragraph" w:styleId="Caption">
    <w:name w:val="caption"/>
    <w:basedOn w:val="Normal"/>
    <w:qFormat/>
    <w:pPr>
      <w:suppressLineNumbers/>
      <w:spacing w:before="120" w:after="120"/>
    </w:pPr>
    <w:rPr>
      <w:rFonts w:ascii="Liberation Sans" w:hAnsi="Liberation Sans" w:cs="Noto Sans Devanagari"/>
      <w:i/>
      <w:iCs/>
      <w:sz w:val="24"/>
      <w:szCs w:val="24"/>
    </w:rPr>
  </w:style>
  <w:style w:type="paragraph" w:styleId="Verzeichnis">
    <w:name w:val="Verzeichnis"/>
    <w:basedOn w:val="Normal"/>
    <w:qFormat/>
    <w:pPr>
      <w:suppressLineNumbers/>
    </w:pPr>
    <w:rPr>
      <w:rFonts w:ascii="Liberation Sans" w:hAnsi="Liberation Sans" w:cs="Noto Sans Devanagari"/>
    </w:rPr>
  </w:style>
  <w:style w:type="paragraph" w:styleId="berschriftuser">
    <w:name w:val="Überschrift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Verzeichnisuser">
    <w:name w:val="Verzeichnis (user)"/>
    <w:basedOn w:val="Normal"/>
    <w:qFormat/>
    <w:pPr>
      <w:suppressLineNumbers/>
    </w:pPr>
    <w:rPr>
      <w:rFonts w:ascii="Liberation Sans" w:hAnsi="Liberation Sans" w:cs="Noto Sans Devanagari"/>
    </w:rPr>
  </w:style>
  <w:style w:type="paragraph" w:styleId="Title">
    <w:name w:val="Title"/>
    <w:basedOn w:val="Normal"/>
    <w:next w:val="Normal"/>
    <w:qFormat/>
    <w:pPr>
      <w:keepNext w:val="true"/>
      <w:keepLines/>
      <w:spacing w:before="480" w:after="120"/>
    </w:pPr>
    <w:rPr>
      <w:b/>
      <w:sz w:val="72"/>
      <w:szCs w:val="72"/>
    </w:rPr>
  </w:style>
  <w:style w:type="paragraph" w:styleId="Subtitle">
    <w:name w:val="Subtitle"/>
    <w:basedOn w:val="Normal"/>
    <w:next w:val="Normal"/>
    <w:qFormat/>
    <w:pPr>
      <w:keepNext w:val="true"/>
      <w:keepLines/>
      <w:spacing w:before="360" w:after="80"/>
    </w:pPr>
    <w:rPr>
      <w:rFonts w:ascii="Georgia" w:hAnsi="Georgia" w:eastAsia="Georgia" w:cs="Georgia"/>
      <w:i/>
      <w:color w:val="666666"/>
      <w:sz w:val="48"/>
      <w:szCs w:val="48"/>
    </w:rPr>
  </w:style>
  <w:style w:type="paragraph" w:styleId="Kopf-Fuzeileuser">
    <w:name w:val="Kopf-/Fußzeile (user)"/>
    <w:basedOn w:val="Normal"/>
    <w:qFormat/>
    <w:pPr/>
    <w:rPr/>
  </w:style>
  <w:style w:type="paragraph" w:styleId="Kopf-Fuzeile">
    <w:name w:val="Kopf-/Fußzeile"/>
    <w:basedOn w:val="Normal"/>
    <w:qFormat/>
    <w:pPr/>
    <w:rPr/>
  </w:style>
  <w:style w:type="paragraph" w:styleId="Header">
    <w:name w:val="header"/>
    <w:basedOn w:val="Normal"/>
    <w:link w:val="En-tteCar"/>
    <w:pPr>
      <w:tabs>
        <w:tab w:val="clear" w:pos="720"/>
        <w:tab w:val="center" w:pos="4513" w:leader="none"/>
        <w:tab w:val="right" w:pos="9026" w:leader="none"/>
      </w:tabs>
      <w:spacing w:lineRule="auto" w:line="240" w:before="0" w:after="0"/>
    </w:pPr>
    <w:rPr/>
  </w:style>
  <w:style w:type="paragraph" w:styleId="Footer">
    <w:name w:val="footer"/>
    <w:basedOn w:val="Normal"/>
    <w:link w:val="PieddepageCar"/>
    <w:pPr>
      <w:tabs>
        <w:tab w:val="clear" w:pos="720"/>
        <w:tab w:val="center" w:pos="4513" w:leader="none"/>
        <w:tab w:val="right" w:pos="9026" w:leader="none"/>
      </w:tabs>
      <w:spacing w:lineRule="auto" w:line="240" w:before="0" w:after="0"/>
    </w:pPr>
    <w:rPr/>
  </w:style>
  <w:style w:type="paragraph" w:styleId="Rahmeninhaltuser">
    <w:name w:val="Rahmeninhalt (user)"/>
    <w:basedOn w:val="Normal"/>
    <w:qFormat/>
    <w:pPr/>
    <w:rPr/>
  </w:style>
  <w:style w:type="paragraph" w:styleId="Kommentaruser">
    <w:name w:val="Kommentar (user)"/>
    <w:basedOn w:val="Normal"/>
    <w:qFormat/>
    <w:pPr>
      <w:spacing w:lineRule="auto" w:line="240" w:before="56" w:after="0"/>
      <w:ind w:hanging="0" w:left="57" w:right="57"/>
    </w:pPr>
    <w:rPr>
      <w:color w:val="auto"/>
      <w:sz w:val="20"/>
      <w:szCs w:val="20"/>
    </w:rPr>
  </w:style>
  <w:style w:type="paragraph" w:styleId="Rahmeninhalt">
    <w:name w:val="Rahmeninhalt"/>
    <w:basedOn w:val="Normal"/>
    <w:qFormat/>
    <w:pPr/>
    <w:rPr/>
  </w:style>
  <w:style w:type="paragraph" w:styleId="VorformatierterTextuser">
    <w:name w:val="Vorformatierter Text (user)"/>
    <w:basedOn w:val="Normal"/>
    <w:qFormat/>
    <w:pPr>
      <w:spacing w:before="0" w:after="0"/>
    </w:pPr>
    <w:rPr>
      <w:rFonts w:ascii="Liberation Mono" w:hAnsi="Liberation Mono" w:eastAsia="Liberation Mono" w:cs="Liberation Mono"/>
      <w:sz w:val="20"/>
      <w:szCs w:val="20"/>
    </w:rPr>
  </w:style>
  <w:style w:type="numbering" w:styleId="KeineListeuser">
    <w:name w:val="Keine Liste (user)"/>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bkw.ch/de/strom-in-der-grundversorgung/strom-beziehen/stromkosten-rechnung/sonne-scheint" TargetMode="External"/><Relationship Id="rId3" Type="http://schemas.openxmlformats.org/officeDocument/2006/relationships/hyperlink" Target="https://www.groupe-e.ch/de/strom/vario" TargetMode="External"/><Relationship Id="rId4" Type="http://schemas.openxmlformats.org/officeDocument/2006/relationships/hyperlink" Target="https://www.ewz.ch/de/private/strom/produkte/ewz-solarquartier.html" TargetMode="External"/><Relationship Id="rId5" Type="http://schemas.openxmlformats.org/officeDocument/2006/relationships/hyperlink" Target="https://www.vese.ch/pv-zubau-2-0/" TargetMode="External"/><Relationship Id="rId6" Type="http://schemas.openxmlformats.org/officeDocument/2006/relationships/hyperlink" Target="tel:+41765280936" TargetMode="External"/><Relationship Id="rId7" Type="http://schemas.openxmlformats.org/officeDocument/2006/relationships/hyperlink" Target="mailto:walter.sachs@vese.ch"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357</TotalTime>
  <Application>LibreOffice/26.2.4.2$Linux_X86_64 LibreOffice_project/620$Build-2</Application>
  <AppVersion>15.0000</AppVersion>
  <Pages>2</Pages>
  <Words>475</Words>
  <Characters>3201</Characters>
  <CharactersWithSpaces>3672</CharactersWithSpaces>
  <Paragraphs>16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2025-10-02T06:25:00Z</dcterms:created>
  <dc:creator>diego</dc:creator>
  <dc:description/>
  <dc:language>de-CH</dc:language>
  <cp:lastModifiedBy>Walter Sachs</cp:lastModifiedBy>
  <cp:lastPrinted>2026-08-20T12:25:57Z</cp:lastPrinted>
  <dcterms:modified xsi:type="dcterms:W3CDTF">2026-08-20T12:12:06Z</dcterms:modified>
  <cp:revision>34</cp:revision>
  <dc:subject/>
  <dc:title>VESE Medienmitteilung: BKW-Tarif «Sonne scheint»: Mogelpackung bremst die lokale Energiewende</dc:title>
</cp:coreProperties>
</file>

<file path=docProps/custom.xml><?xml version="1.0" encoding="utf-8"?>
<Properties xmlns="http://schemas.openxmlformats.org/officeDocument/2006/custom-properties" xmlns:vt="http://schemas.openxmlformats.org/officeDocument/2006/docPropsVTypes"/>
</file>